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030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/>
      </w:tblPr>
      <w:tblGrid>
        <w:gridCol w:w="10864"/>
      </w:tblGrid>
      <w:tr w:rsidR="00E839E6" w:rsidRPr="00C7260C" w:rsidTr="00C7260C">
        <w:trPr>
          <w:trHeight w:val="12322"/>
        </w:trPr>
        <w:tc>
          <w:tcPr>
            <w:tcW w:w="108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839E6" w:rsidRPr="00C7260C" w:rsidRDefault="00E839E6" w:rsidP="00C7260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E839E6" w:rsidRPr="00C7260C" w:rsidRDefault="004E20CC" w:rsidP="00C7260C">
            <w:pPr>
              <w:pStyle w:val="TableParagraph"/>
              <w:numPr>
                <w:ilvl w:val="0"/>
                <w:numId w:val="3"/>
              </w:numPr>
              <w:tabs>
                <w:tab w:val="left" w:pos="1436"/>
              </w:tabs>
              <w:ind w:hanging="709"/>
              <w:jc w:val="both"/>
              <w:rPr>
                <w:rFonts w:asciiTheme="minorHAnsi" w:hAnsiTheme="minorHAnsi" w:cstheme="minorHAnsi"/>
                <w:b/>
              </w:rPr>
            </w:pPr>
            <w:r w:rsidRPr="00C7260C">
              <w:rPr>
                <w:rFonts w:asciiTheme="minorHAnsi" w:hAnsiTheme="minorHAnsi" w:cstheme="minorHAnsi"/>
                <w:b/>
              </w:rPr>
              <w:t>Amaç</w:t>
            </w:r>
          </w:p>
          <w:p w:rsidR="00E839E6" w:rsidRPr="00C7260C" w:rsidRDefault="004E20CC" w:rsidP="00C7260C">
            <w:pPr>
              <w:pStyle w:val="TableParagraph"/>
              <w:spacing w:before="139" w:line="360" w:lineRule="auto"/>
              <w:ind w:right="410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 xml:space="preserve">Tesis Güvenliği kapsamında bulunan alt yapı güvenliği ile ilgili elektrik, su, ısı santralı, havalandırma sistemlerinin denetimi, çevre düzeni ve güvenlik konusunda alınan tedbirlerin yeterli olup olmadığının belirlenmesi, </w:t>
            </w:r>
            <w:r w:rsidR="00C7260C" w:rsidRPr="00C7260C">
              <w:rPr>
                <w:rFonts w:asciiTheme="minorHAnsi" w:hAnsiTheme="minorHAnsi" w:cstheme="minorHAnsi"/>
              </w:rPr>
              <w:t>hasta bakımı ve otelcilik hizmetleri konusunda denetimlerin yapılması ,</w:t>
            </w:r>
            <w:r w:rsidRPr="00C7260C">
              <w:rPr>
                <w:rFonts w:asciiTheme="minorHAnsi" w:hAnsiTheme="minorHAnsi" w:cstheme="minorHAnsi"/>
              </w:rPr>
              <w:t>birimlerdeki tıbbi cihazların kontrolü ile tehlikeli atık ve maddeler ile ilgili alınan önlemlerin kontrolü neticesi aksaklıkların tespit edilmesi ve gerekli önlemlerin alınması amacıyla bina turları yapılarak kayıt altına alınmasıdır.</w:t>
            </w:r>
          </w:p>
          <w:p w:rsidR="00E839E6" w:rsidRPr="00C7260C" w:rsidRDefault="004E20CC" w:rsidP="00C7260C">
            <w:pPr>
              <w:pStyle w:val="TableParagraph"/>
              <w:numPr>
                <w:ilvl w:val="0"/>
                <w:numId w:val="3"/>
              </w:numPr>
              <w:tabs>
                <w:tab w:val="left" w:pos="1436"/>
              </w:tabs>
              <w:spacing w:line="275" w:lineRule="exact"/>
              <w:ind w:hanging="709"/>
              <w:jc w:val="both"/>
              <w:rPr>
                <w:rFonts w:asciiTheme="minorHAnsi" w:hAnsiTheme="minorHAnsi" w:cstheme="minorHAnsi"/>
                <w:b/>
              </w:rPr>
            </w:pPr>
            <w:r w:rsidRPr="00C7260C">
              <w:rPr>
                <w:rFonts w:asciiTheme="minorHAnsi" w:hAnsiTheme="minorHAnsi" w:cstheme="minorHAnsi"/>
                <w:b/>
              </w:rPr>
              <w:t>Kapsam</w:t>
            </w:r>
          </w:p>
          <w:p w:rsidR="00E839E6" w:rsidRPr="00C7260C" w:rsidRDefault="00C7260C" w:rsidP="00C7260C">
            <w:pPr>
              <w:pStyle w:val="TableParagraph"/>
              <w:spacing w:before="139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Suruç Devlet Hastanesi</w:t>
            </w:r>
          </w:p>
          <w:p w:rsidR="00E839E6" w:rsidRPr="00C7260C" w:rsidRDefault="004E20CC" w:rsidP="00C7260C">
            <w:pPr>
              <w:pStyle w:val="TableParagraph"/>
              <w:numPr>
                <w:ilvl w:val="0"/>
                <w:numId w:val="3"/>
              </w:numPr>
              <w:tabs>
                <w:tab w:val="left" w:pos="1434"/>
                <w:tab w:val="left" w:pos="1436"/>
              </w:tabs>
              <w:spacing w:before="127"/>
              <w:ind w:hanging="709"/>
              <w:rPr>
                <w:rFonts w:asciiTheme="minorHAnsi" w:hAnsiTheme="minorHAnsi" w:cstheme="minorHAnsi"/>
                <w:b/>
              </w:rPr>
            </w:pPr>
            <w:r w:rsidRPr="00C7260C">
              <w:rPr>
                <w:rFonts w:asciiTheme="minorHAnsi" w:hAnsiTheme="minorHAnsi" w:cstheme="minorHAnsi"/>
                <w:b/>
              </w:rPr>
              <w:t>Sorumlular:</w:t>
            </w:r>
          </w:p>
          <w:p w:rsidR="00E839E6" w:rsidRPr="00C7260C" w:rsidRDefault="004E20CC" w:rsidP="00C7260C">
            <w:pPr>
              <w:pStyle w:val="TableParagraph"/>
              <w:spacing w:before="136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Tesis Güvenliği Komite koordinatörü ve tüm komite üyeleri</w:t>
            </w:r>
          </w:p>
          <w:p w:rsidR="00E839E6" w:rsidRPr="00C7260C" w:rsidRDefault="004E20CC" w:rsidP="00C7260C">
            <w:pPr>
              <w:pStyle w:val="TableParagraph"/>
              <w:numPr>
                <w:ilvl w:val="0"/>
                <w:numId w:val="3"/>
              </w:numPr>
              <w:tabs>
                <w:tab w:val="left" w:pos="1434"/>
                <w:tab w:val="left" w:pos="1436"/>
              </w:tabs>
              <w:spacing w:before="127"/>
              <w:ind w:hanging="709"/>
              <w:rPr>
                <w:rFonts w:asciiTheme="minorHAnsi" w:hAnsiTheme="minorHAnsi" w:cstheme="minorHAnsi"/>
                <w:b/>
              </w:rPr>
            </w:pPr>
            <w:r w:rsidRPr="00C7260C">
              <w:rPr>
                <w:rFonts w:asciiTheme="minorHAnsi" w:hAnsiTheme="minorHAnsi" w:cstheme="minorHAnsi"/>
                <w:b/>
              </w:rPr>
              <w:t>Uygulamalar</w:t>
            </w:r>
          </w:p>
          <w:p w:rsidR="00E839E6" w:rsidRPr="00C7260C" w:rsidRDefault="00E839E6" w:rsidP="00C7260C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ind w:hanging="709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Bina turları koordinatör ve komite üyeleri tarafından 3 ayda bir kez,</w:t>
            </w:r>
            <w:r w:rsidRPr="00C7260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gerçekleştirilir.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before="127" w:line="362" w:lineRule="auto"/>
              <w:ind w:right="401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Bina turları Tesis Güvenliği Komite Koordinatörü ve sorumluları ile birlikte ilgili bölümlerdeki Bölüm Sorumlularının da katılımlarıyla yapılır.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line="360" w:lineRule="auto"/>
              <w:ind w:right="406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Turların içeriği: Tıbbi cihaz yönetimi, tehlikeli madde yönetimi, altyapı ve fiziksel ortam, afet önlemleri konularını</w:t>
            </w:r>
            <w:r w:rsidRPr="00C7260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kapsar.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line="360" w:lineRule="auto"/>
              <w:ind w:right="404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 xml:space="preserve">Turda kontrol edilecek içeriğe uygun </w:t>
            </w:r>
            <w:r w:rsidRPr="00C7260C">
              <w:rPr>
                <w:rFonts w:asciiTheme="minorHAnsi" w:hAnsiTheme="minorHAnsi" w:cstheme="minorHAnsi"/>
                <w:b/>
              </w:rPr>
              <w:t>“Bina Turu Kontrol Form”</w:t>
            </w:r>
            <w:r w:rsidRPr="00C7260C">
              <w:rPr>
                <w:rFonts w:asciiTheme="minorHAnsi" w:hAnsiTheme="minorHAnsi" w:cstheme="minorHAnsi"/>
              </w:rPr>
              <w:t xml:space="preserve">u kullanılır. Her turda, bir önceki tur sırasında doldurulmuş </w:t>
            </w:r>
            <w:r w:rsidRPr="00C7260C">
              <w:rPr>
                <w:rFonts w:asciiTheme="minorHAnsi" w:hAnsiTheme="minorHAnsi" w:cstheme="minorHAnsi"/>
                <w:b/>
              </w:rPr>
              <w:t>“Bina Turu Kontrol Form”</w:t>
            </w:r>
            <w:r w:rsidRPr="00C7260C">
              <w:rPr>
                <w:rFonts w:asciiTheme="minorHAnsi" w:hAnsiTheme="minorHAnsi" w:cstheme="minorHAnsi"/>
              </w:rPr>
              <w:t xml:space="preserve">u gözden geçirilir ve ekip tur sırasında bunları da yanında bulundurur. Varsa </w:t>
            </w:r>
            <w:r w:rsidRPr="00C7260C">
              <w:rPr>
                <w:rFonts w:asciiTheme="minorHAnsi" w:hAnsiTheme="minorHAnsi" w:cstheme="minorHAnsi"/>
                <w:b/>
              </w:rPr>
              <w:t xml:space="preserve">“DÖF Formları” </w:t>
            </w:r>
            <w:r w:rsidRPr="00C7260C">
              <w:rPr>
                <w:rFonts w:asciiTheme="minorHAnsi" w:hAnsiTheme="minorHAnsi" w:cstheme="minorHAnsi"/>
              </w:rPr>
              <w:t>da gözden</w:t>
            </w:r>
            <w:r w:rsidRPr="00C7260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geçirilir.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line="360" w:lineRule="auto"/>
              <w:ind w:right="410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Tur sırasında gezilecek birimlerin, tura eşlik edecek so</w:t>
            </w:r>
            <w:r w:rsidR="00C7260C">
              <w:rPr>
                <w:rFonts w:asciiTheme="minorHAnsi" w:hAnsiTheme="minorHAnsi" w:cstheme="minorHAnsi"/>
              </w:rPr>
              <w:t>rumluları en az 3 gün</w:t>
            </w:r>
            <w:r w:rsidRPr="00C7260C">
              <w:rPr>
                <w:rFonts w:asciiTheme="minorHAnsi" w:hAnsiTheme="minorHAnsi" w:cstheme="minorHAnsi"/>
              </w:rPr>
              <w:t xml:space="preserve"> önceden bilgilendirilir ve tura eşlik etmeleri</w:t>
            </w:r>
            <w:r w:rsidRPr="00C7260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sağlanır.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line="360" w:lineRule="auto"/>
              <w:ind w:right="413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 xml:space="preserve">Tur sonucu tespit edilen aksaklıklar ve eksikler varsa iyileşmeyi sağlamak amacıyla ilgili bölüm için </w:t>
            </w:r>
            <w:r w:rsidRPr="00C7260C">
              <w:rPr>
                <w:rFonts w:asciiTheme="minorHAnsi" w:hAnsiTheme="minorHAnsi" w:cstheme="minorHAnsi"/>
                <w:b/>
              </w:rPr>
              <w:t xml:space="preserve">“Düzeltici ve Önleyici Faaliyet” </w:t>
            </w:r>
            <w:r w:rsidRPr="00C7260C">
              <w:rPr>
                <w:rFonts w:asciiTheme="minorHAnsi" w:hAnsiTheme="minorHAnsi" w:cstheme="minorHAnsi"/>
              </w:rPr>
              <w:t>(DÖF)</w:t>
            </w:r>
            <w:r w:rsidRPr="00C7260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başlatılır.</w:t>
            </w:r>
          </w:p>
          <w:p w:rsidR="00E839E6" w:rsidRPr="00C7260C" w:rsidRDefault="004E20CC" w:rsidP="00C7260C">
            <w:pPr>
              <w:pStyle w:val="TableParagraph"/>
              <w:numPr>
                <w:ilvl w:val="2"/>
                <w:numId w:val="2"/>
              </w:numPr>
              <w:tabs>
                <w:tab w:val="left" w:pos="1436"/>
              </w:tabs>
              <w:spacing w:line="362" w:lineRule="auto"/>
              <w:ind w:right="406"/>
              <w:jc w:val="both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 xml:space="preserve">Başlatılan iyileştirme çalışmaları </w:t>
            </w:r>
            <w:r w:rsidRPr="00C7260C">
              <w:rPr>
                <w:rFonts w:asciiTheme="minorHAnsi" w:hAnsiTheme="minorHAnsi" w:cstheme="minorHAnsi"/>
                <w:b/>
              </w:rPr>
              <w:t xml:space="preserve">“Düzeltici Önleyici Faaliyet Prosedürü” </w:t>
            </w:r>
            <w:r w:rsidRPr="00C7260C">
              <w:rPr>
                <w:rFonts w:asciiTheme="minorHAnsi" w:hAnsiTheme="minorHAnsi" w:cstheme="minorHAnsi"/>
              </w:rPr>
              <w:t>uyarınca yürütülür ve izlenir.</w:t>
            </w:r>
          </w:p>
          <w:p w:rsidR="00E839E6" w:rsidRPr="00C7260C" w:rsidRDefault="004E20CC" w:rsidP="00C7260C">
            <w:pPr>
              <w:pStyle w:val="TableParagraph"/>
              <w:numPr>
                <w:ilvl w:val="0"/>
                <w:numId w:val="1"/>
              </w:numPr>
              <w:tabs>
                <w:tab w:val="left" w:pos="1436"/>
              </w:tabs>
              <w:spacing w:line="273" w:lineRule="exact"/>
              <w:ind w:hanging="709"/>
              <w:jc w:val="both"/>
              <w:rPr>
                <w:rFonts w:asciiTheme="minorHAnsi" w:hAnsiTheme="minorHAnsi" w:cstheme="minorHAnsi"/>
                <w:b/>
              </w:rPr>
            </w:pPr>
            <w:r w:rsidRPr="00C7260C">
              <w:rPr>
                <w:rFonts w:asciiTheme="minorHAnsi" w:hAnsiTheme="minorHAnsi" w:cstheme="minorHAnsi"/>
                <w:b/>
              </w:rPr>
              <w:t>İlgili Dokümanlar</w:t>
            </w:r>
          </w:p>
          <w:p w:rsidR="00E839E6" w:rsidRPr="00C7260C" w:rsidRDefault="00E839E6" w:rsidP="00C7260C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</w:rPr>
            </w:pPr>
          </w:p>
          <w:p w:rsidR="00E839E6" w:rsidRPr="00C7260C" w:rsidRDefault="004E20CC" w:rsidP="00C7260C">
            <w:pPr>
              <w:pStyle w:val="TableParagraph"/>
              <w:numPr>
                <w:ilvl w:val="1"/>
                <w:numId w:val="1"/>
              </w:numPr>
              <w:tabs>
                <w:tab w:val="left" w:pos="1434"/>
                <w:tab w:val="left" w:pos="1436"/>
              </w:tabs>
              <w:ind w:hanging="709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Bina Turu Kontrol</w:t>
            </w:r>
            <w:r w:rsidRPr="00C7260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Formu</w:t>
            </w:r>
          </w:p>
          <w:p w:rsidR="00E839E6" w:rsidRPr="00C7260C" w:rsidRDefault="004E20CC" w:rsidP="00C7260C">
            <w:pPr>
              <w:pStyle w:val="TableParagraph"/>
              <w:numPr>
                <w:ilvl w:val="1"/>
                <w:numId w:val="1"/>
              </w:numPr>
              <w:tabs>
                <w:tab w:val="left" w:pos="1434"/>
                <w:tab w:val="left" w:pos="1436"/>
              </w:tabs>
              <w:spacing w:before="126"/>
              <w:ind w:hanging="709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Düzeltici ve Önleyici Faaliyet</w:t>
            </w:r>
            <w:r w:rsidRPr="00C7260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Formu</w:t>
            </w:r>
          </w:p>
          <w:p w:rsidR="00E839E6" w:rsidRPr="00C7260C" w:rsidRDefault="004E20CC" w:rsidP="00C7260C">
            <w:pPr>
              <w:pStyle w:val="TableParagraph"/>
              <w:numPr>
                <w:ilvl w:val="1"/>
                <w:numId w:val="1"/>
              </w:numPr>
              <w:tabs>
                <w:tab w:val="left" w:pos="1434"/>
                <w:tab w:val="left" w:pos="1436"/>
              </w:tabs>
              <w:spacing w:before="126"/>
              <w:ind w:hanging="709"/>
              <w:rPr>
                <w:rFonts w:asciiTheme="minorHAnsi" w:hAnsiTheme="minorHAnsi" w:cstheme="minorHAnsi"/>
              </w:rPr>
            </w:pPr>
            <w:r w:rsidRPr="00C7260C">
              <w:rPr>
                <w:rFonts w:asciiTheme="minorHAnsi" w:hAnsiTheme="minorHAnsi" w:cstheme="minorHAnsi"/>
              </w:rPr>
              <w:t>Düzeltici ve Önleyici Faaliyet</w:t>
            </w:r>
            <w:r w:rsidRPr="00C7260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260C">
              <w:rPr>
                <w:rFonts w:asciiTheme="minorHAnsi" w:hAnsiTheme="minorHAnsi" w:cstheme="minorHAnsi"/>
              </w:rPr>
              <w:t>Prosedürü</w:t>
            </w:r>
          </w:p>
        </w:tc>
      </w:tr>
    </w:tbl>
    <w:p w:rsidR="0023768A" w:rsidRDefault="0023768A" w:rsidP="00C7260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E34FA" w:rsidTr="003E34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A" w:rsidRPr="00493049" w:rsidRDefault="003E34FA" w:rsidP="003E34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3E34FA" w:rsidTr="003E34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Tesis Güvenliği Komitesi</w:t>
            </w:r>
          </w:p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3E34FA" w:rsidRPr="00493049" w:rsidRDefault="003E34FA" w:rsidP="003E34F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3768A" w:rsidRDefault="0023768A" w:rsidP="0023768A">
      <w:pPr>
        <w:rPr>
          <w:rFonts w:asciiTheme="minorHAnsi" w:hAnsiTheme="minorHAnsi" w:cstheme="minorHAnsi"/>
        </w:rPr>
      </w:pPr>
    </w:p>
    <w:p w:rsidR="0023768A" w:rsidRPr="0023768A" w:rsidRDefault="0023768A" w:rsidP="0023768A">
      <w:pPr>
        <w:tabs>
          <w:tab w:val="left" w:pos="2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839E6" w:rsidRPr="0023768A" w:rsidRDefault="00E839E6" w:rsidP="0023768A">
      <w:pPr>
        <w:tabs>
          <w:tab w:val="left" w:pos="2216"/>
        </w:tabs>
        <w:rPr>
          <w:rFonts w:asciiTheme="minorHAnsi" w:hAnsiTheme="minorHAnsi" w:cstheme="minorHAnsi"/>
        </w:rPr>
      </w:pPr>
    </w:p>
    <w:sectPr w:rsidR="00E839E6" w:rsidRPr="0023768A" w:rsidSect="003E3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59" w:right="380" w:bottom="170" w:left="403" w:header="340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99" w:rsidRDefault="00607799" w:rsidP="00C7260C">
      <w:r>
        <w:separator/>
      </w:r>
    </w:p>
  </w:endnote>
  <w:endnote w:type="continuationSeparator" w:id="1">
    <w:p w:rsidR="00607799" w:rsidRDefault="00607799" w:rsidP="00C7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E4" w:rsidRDefault="001936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E4" w:rsidRDefault="001936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E4" w:rsidRDefault="001936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99" w:rsidRDefault="00607799" w:rsidP="00C7260C">
      <w:r>
        <w:separator/>
      </w:r>
    </w:p>
  </w:footnote>
  <w:footnote w:type="continuationSeparator" w:id="1">
    <w:p w:rsidR="00607799" w:rsidRDefault="00607799" w:rsidP="00C7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E4" w:rsidRDefault="001936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C7260C" w:rsidRPr="002F5EB7" w:rsidTr="00B9058A">
      <w:trPr>
        <w:trHeight w:val="1130"/>
        <w:jc w:val="center"/>
      </w:trPr>
      <w:tc>
        <w:tcPr>
          <w:tcW w:w="2712" w:type="dxa"/>
        </w:tcPr>
        <w:p w:rsidR="00C7260C" w:rsidRPr="002F5EB7" w:rsidRDefault="00C7260C" w:rsidP="00B9058A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C7260C" w:rsidRPr="002F5EB7" w:rsidRDefault="00C7260C" w:rsidP="00B9058A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7260C" w:rsidRPr="002F5EB7" w:rsidRDefault="00C7260C" w:rsidP="00B9058A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7260C" w:rsidRPr="002F5EB7" w:rsidRDefault="00C7260C" w:rsidP="00B9058A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C7260C" w:rsidRPr="002F5EB7" w:rsidRDefault="00C7260C" w:rsidP="00B9058A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C7260C" w:rsidRDefault="00C7260C" w:rsidP="00B9058A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C7260C" w:rsidRPr="001E7306" w:rsidRDefault="00C7260C" w:rsidP="00B9058A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sz w:val="24"/>
              <w:szCs w:val="28"/>
            </w:rPr>
            <w:t>BİNA TURU UYGULAMA TALİMATI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C7260C" w:rsidRPr="002F5EB7" w:rsidTr="00B9058A">
      <w:trPr>
        <w:trHeight w:val="182"/>
        <w:jc w:val="center"/>
      </w:trPr>
      <w:tc>
        <w:tcPr>
          <w:tcW w:w="2712" w:type="dxa"/>
        </w:tcPr>
        <w:p w:rsidR="00C7260C" w:rsidRPr="002F5EB7" w:rsidRDefault="00C7260C" w:rsidP="00C7260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E41448">
            <w:rPr>
              <w:rFonts w:cstheme="minorHAnsi"/>
              <w:b/>
              <w:sz w:val="20"/>
              <w:szCs w:val="20"/>
            </w:rPr>
            <w:t>: TY.TL.001</w:t>
          </w:r>
        </w:p>
      </w:tc>
      <w:tc>
        <w:tcPr>
          <w:tcW w:w="2256" w:type="dxa"/>
        </w:tcPr>
        <w:p w:rsidR="00C7260C" w:rsidRPr="002F5EB7" w:rsidRDefault="00C7260C" w:rsidP="00E4144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E41448">
            <w:rPr>
              <w:rFonts w:cstheme="minorHAnsi"/>
              <w:b/>
              <w:sz w:val="20"/>
              <w:szCs w:val="20"/>
            </w:rPr>
            <w:t>31.12.2015</w:t>
          </w:r>
        </w:p>
      </w:tc>
      <w:tc>
        <w:tcPr>
          <w:tcW w:w="2410" w:type="dxa"/>
        </w:tcPr>
        <w:p w:rsidR="00C7260C" w:rsidRPr="002F5EB7" w:rsidRDefault="00C7260C" w:rsidP="00C7260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 w:rsidR="00E41448">
            <w:rPr>
              <w:rFonts w:cstheme="minorHAnsi"/>
              <w:b/>
              <w:sz w:val="20"/>
              <w:szCs w:val="20"/>
            </w:rPr>
            <w:t xml:space="preserve"> 28.06.2021</w:t>
          </w:r>
        </w:p>
      </w:tc>
      <w:tc>
        <w:tcPr>
          <w:tcW w:w="1418" w:type="dxa"/>
        </w:tcPr>
        <w:p w:rsidR="00C7260C" w:rsidRPr="002F5EB7" w:rsidRDefault="00C7260C" w:rsidP="00B9058A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 w:rsidR="00E41448">
            <w:rPr>
              <w:rFonts w:cstheme="minorHAnsi"/>
              <w:b/>
              <w:sz w:val="20"/>
              <w:szCs w:val="20"/>
            </w:rPr>
            <w:t>2</w:t>
          </w:r>
        </w:p>
      </w:tc>
      <w:tc>
        <w:tcPr>
          <w:tcW w:w="1139" w:type="dxa"/>
        </w:tcPr>
        <w:p w:rsidR="00C7260C" w:rsidRPr="002F5EB7" w:rsidRDefault="00C7260C" w:rsidP="00B9058A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E41448">
            <w:rPr>
              <w:rFonts w:cstheme="minorHAnsi"/>
              <w:b/>
              <w:noProof/>
              <w:sz w:val="20"/>
              <w:szCs w:val="20"/>
            </w:rPr>
            <w:t>1</w: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B17579">
            <w:rPr>
              <w:rFonts w:cstheme="minorHAnsi"/>
              <w:b/>
              <w:noProof/>
              <w:sz w:val="20"/>
              <w:szCs w:val="20"/>
            </w:rPr>
            <w:t>1</w:t>
          </w:r>
          <w:r w:rsidR="00AE230B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C7260C" w:rsidRDefault="00C726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E4" w:rsidRDefault="001936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152"/>
    <w:multiLevelType w:val="hybridMultilevel"/>
    <w:tmpl w:val="F606E416"/>
    <w:lvl w:ilvl="0" w:tplc="E6A4D102">
      <w:start w:val="5"/>
      <w:numFmt w:val="decimal"/>
      <w:lvlText w:val="%1."/>
      <w:lvlJc w:val="left"/>
      <w:pPr>
        <w:ind w:left="1435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1" w:tplc="BDF4C7D6">
      <w:numFmt w:val="none"/>
      <w:lvlText w:val=""/>
      <w:lvlJc w:val="left"/>
      <w:pPr>
        <w:tabs>
          <w:tab w:val="num" w:pos="360"/>
        </w:tabs>
      </w:pPr>
    </w:lvl>
    <w:lvl w:ilvl="2" w:tplc="ED348402">
      <w:numFmt w:val="bullet"/>
      <w:lvlText w:val="•"/>
      <w:lvlJc w:val="left"/>
      <w:pPr>
        <w:ind w:left="3306" w:hanging="708"/>
      </w:pPr>
      <w:rPr>
        <w:rFonts w:hint="default"/>
        <w:lang w:val="tr-TR" w:eastAsia="tr-TR" w:bidi="tr-TR"/>
      </w:rPr>
    </w:lvl>
    <w:lvl w:ilvl="3" w:tplc="A6185012">
      <w:numFmt w:val="bullet"/>
      <w:lvlText w:val="•"/>
      <w:lvlJc w:val="left"/>
      <w:pPr>
        <w:ind w:left="4240" w:hanging="708"/>
      </w:pPr>
      <w:rPr>
        <w:rFonts w:hint="default"/>
        <w:lang w:val="tr-TR" w:eastAsia="tr-TR" w:bidi="tr-TR"/>
      </w:rPr>
    </w:lvl>
    <w:lvl w:ilvl="4" w:tplc="53CC21B0">
      <w:numFmt w:val="bullet"/>
      <w:lvlText w:val="•"/>
      <w:lvlJc w:val="left"/>
      <w:pPr>
        <w:ind w:left="5173" w:hanging="708"/>
      </w:pPr>
      <w:rPr>
        <w:rFonts w:hint="default"/>
        <w:lang w:val="tr-TR" w:eastAsia="tr-TR" w:bidi="tr-TR"/>
      </w:rPr>
    </w:lvl>
    <w:lvl w:ilvl="5" w:tplc="AB205D5A">
      <w:numFmt w:val="bullet"/>
      <w:lvlText w:val="•"/>
      <w:lvlJc w:val="left"/>
      <w:pPr>
        <w:ind w:left="6107" w:hanging="708"/>
      </w:pPr>
      <w:rPr>
        <w:rFonts w:hint="default"/>
        <w:lang w:val="tr-TR" w:eastAsia="tr-TR" w:bidi="tr-TR"/>
      </w:rPr>
    </w:lvl>
    <w:lvl w:ilvl="6" w:tplc="A29248BE">
      <w:numFmt w:val="bullet"/>
      <w:lvlText w:val="•"/>
      <w:lvlJc w:val="left"/>
      <w:pPr>
        <w:ind w:left="7040" w:hanging="708"/>
      </w:pPr>
      <w:rPr>
        <w:rFonts w:hint="default"/>
        <w:lang w:val="tr-TR" w:eastAsia="tr-TR" w:bidi="tr-TR"/>
      </w:rPr>
    </w:lvl>
    <w:lvl w:ilvl="7" w:tplc="12C44A52">
      <w:numFmt w:val="bullet"/>
      <w:lvlText w:val="•"/>
      <w:lvlJc w:val="left"/>
      <w:pPr>
        <w:ind w:left="7973" w:hanging="708"/>
      </w:pPr>
      <w:rPr>
        <w:rFonts w:hint="default"/>
        <w:lang w:val="tr-TR" w:eastAsia="tr-TR" w:bidi="tr-TR"/>
      </w:rPr>
    </w:lvl>
    <w:lvl w:ilvl="8" w:tplc="8056F724">
      <w:numFmt w:val="bullet"/>
      <w:lvlText w:val="•"/>
      <w:lvlJc w:val="left"/>
      <w:pPr>
        <w:ind w:left="8907" w:hanging="708"/>
      </w:pPr>
      <w:rPr>
        <w:rFonts w:hint="default"/>
        <w:lang w:val="tr-TR" w:eastAsia="tr-TR" w:bidi="tr-TR"/>
      </w:rPr>
    </w:lvl>
  </w:abstractNum>
  <w:abstractNum w:abstractNumId="1">
    <w:nsid w:val="33877764"/>
    <w:multiLevelType w:val="hybridMultilevel"/>
    <w:tmpl w:val="F748101A"/>
    <w:lvl w:ilvl="0" w:tplc="098699BA">
      <w:start w:val="1"/>
      <w:numFmt w:val="decimal"/>
      <w:lvlText w:val="%1."/>
      <w:lvlJc w:val="left"/>
      <w:pPr>
        <w:ind w:left="1435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tr-TR" w:bidi="tr-TR"/>
      </w:rPr>
    </w:lvl>
    <w:lvl w:ilvl="1" w:tplc="E3D2AC6A">
      <w:numFmt w:val="bullet"/>
      <w:lvlText w:val="•"/>
      <w:lvlJc w:val="left"/>
      <w:pPr>
        <w:ind w:left="2373" w:hanging="708"/>
      </w:pPr>
      <w:rPr>
        <w:rFonts w:hint="default"/>
        <w:lang w:val="tr-TR" w:eastAsia="tr-TR" w:bidi="tr-TR"/>
      </w:rPr>
    </w:lvl>
    <w:lvl w:ilvl="2" w:tplc="14B25EB8">
      <w:numFmt w:val="bullet"/>
      <w:lvlText w:val="•"/>
      <w:lvlJc w:val="left"/>
      <w:pPr>
        <w:ind w:left="3306" w:hanging="708"/>
      </w:pPr>
      <w:rPr>
        <w:rFonts w:hint="default"/>
        <w:lang w:val="tr-TR" w:eastAsia="tr-TR" w:bidi="tr-TR"/>
      </w:rPr>
    </w:lvl>
    <w:lvl w:ilvl="3" w:tplc="4800B6C8">
      <w:numFmt w:val="bullet"/>
      <w:lvlText w:val="•"/>
      <w:lvlJc w:val="left"/>
      <w:pPr>
        <w:ind w:left="4240" w:hanging="708"/>
      </w:pPr>
      <w:rPr>
        <w:rFonts w:hint="default"/>
        <w:lang w:val="tr-TR" w:eastAsia="tr-TR" w:bidi="tr-TR"/>
      </w:rPr>
    </w:lvl>
    <w:lvl w:ilvl="4" w:tplc="AC70F2A8">
      <w:numFmt w:val="bullet"/>
      <w:lvlText w:val="•"/>
      <w:lvlJc w:val="left"/>
      <w:pPr>
        <w:ind w:left="5173" w:hanging="708"/>
      </w:pPr>
      <w:rPr>
        <w:rFonts w:hint="default"/>
        <w:lang w:val="tr-TR" w:eastAsia="tr-TR" w:bidi="tr-TR"/>
      </w:rPr>
    </w:lvl>
    <w:lvl w:ilvl="5" w:tplc="CBD6756C">
      <w:numFmt w:val="bullet"/>
      <w:lvlText w:val="•"/>
      <w:lvlJc w:val="left"/>
      <w:pPr>
        <w:ind w:left="6107" w:hanging="708"/>
      </w:pPr>
      <w:rPr>
        <w:rFonts w:hint="default"/>
        <w:lang w:val="tr-TR" w:eastAsia="tr-TR" w:bidi="tr-TR"/>
      </w:rPr>
    </w:lvl>
    <w:lvl w:ilvl="6" w:tplc="1AC69C90">
      <w:numFmt w:val="bullet"/>
      <w:lvlText w:val="•"/>
      <w:lvlJc w:val="left"/>
      <w:pPr>
        <w:ind w:left="7040" w:hanging="708"/>
      </w:pPr>
      <w:rPr>
        <w:rFonts w:hint="default"/>
        <w:lang w:val="tr-TR" w:eastAsia="tr-TR" w:bidi="tr-TR"/>
      </w:rPr>
    </w:lvl>
    <w:lvl w:ilvl="7" w:tplc="C1427394">
      <w:numFmt w:val="bullet"/>
      <w:lvlText w:val="•"/>
      <w:lvlJc w:val="left"/>
      <w:pPr>
        <w:ind w:left="7973" w:hanging="708"/>
      </w:pPr>
      <w:rPr>
        <w:rFonts w:hint="default"/>
        <w:lang w:val="tr-TR" w:eastAsia="tr-TR" w:bidi="tr-TR"/>
      </w:rPr>
    </w:lvl>
    <w:lvl w:ilvl="8" w:tplc="6B701B5C">
      <w:numFmt w:val="bullet"/>
      <w:lvlText w:val="•"/>
      <w:lvlJc w:val="left"/>
      <w:pPr>
        <w:ind w:left="8907" w:hanging="708"/>
      </w:pPr>
      <w:rPr>
        <w:rFonts w:hint="default"/>
        <w:lang w:val="tr-TR" w:eastAsia="tr-TR" w:bidi="tr-TR"/>
      </w:rPr>
    </w:lvl>
  </w:abstractNum>
  <w:abstractNum w:abstractNumId="2">
    <w:nsid w:val="67A31C75"/>
    <w:multiLevelType w:val="hybridMultilevel"/>
    <w:tmpl w:val="A6A8F476"/>
    <w:lvl w:ilvl="0" w:tplc="DEF270A6">
      <w:start w:val="4"/>
      <w:numFmt w:val="decimal"/>
      <w:lvlText w:val="%1"/>
      <w:lvlJc w:val="left"/>
      <w:pPr>
        <w:ind w:left="1435" w:hanging="708"/>
      </w:pPr>
      <w:rPr>
        <w:rFonts w:hint="default"/>
        <w:lang w:val="tr-TR" w:eastAsia="tr-TR" w:bidi="tr-TR"/>
      </w:rPr>
    </w:lvl>
    <w:lvl w:ilvl="1" w:tplc="0750F06E">
      <w:numFmt w:val="none"/>
      <w:lvlText w:val=""/>
      <w:lvlJc w:val="left"/>
      <w:pPr>
        <w:tabs>
          <w:tab w:val="num" w:pos="360"/>
        </w:tabs>
      </w:pPr>
    </w:lvl>
    <w:lvl w:ilvl="2" w:tplc="74D0C960">
      <w:numFmt w:val="none"/>
      <w:lvlText w:val=""/>
      <w:lvlJc w:val="left"/>
      <w:pPr>
        <w:tabs>
          <w:tab w:val="num" w:pos="360"/>
        </w:tabs>
      </w:pPr>
    </w:lvl>
    <w:lvl w:ilvl="3" w:tplc="23C23198">
      <w:numFmt w:val="bullet"/>
      <w:lvlText w:val="•"/>
      <w:lvlJc w:val="left"/>
      <w:pPr>
        <w:ind w:left="4240" w:hanging="708"/>
      </w:pPr>
      <w:rPr>
        <w:rFonts w:hint="default"/>
        <w:lang w:val="tr-TR" w:eastAsia="tr-TR" w:bidi="tr-TR"/>
      </w:rPr>
    </w:lvl>
    <w:lvl w:ilvl="4" w:tplc="EA74EC2A">
      <w:numFmt w:val="bullet"/>
      <w:lvlText w:val="•"/>
      <w:lvlJc w:val="left"/>
      <w:pPr>
        <w:ind w:left="5173" w:hanging="708"/>
      </w:pPr>
      <w:rPr>
        <w:rFonts w:hint="default"/>
        <w:lang w:val="tr-TR" w:eastAsia="tr-TR" w:bidi="tr-TR"/>
      </w:rPr>
    </w:lvl>
    <w:lvl w:ilvl="5" w:tplc="A6EE8AB8">
      <w:numFmt w:val="bullet"/>
      <w:lvlText w:val="•"/>
      <w:lvlJc w:val="left"/>
      <w:pPr>
        <w:ind w:left="6107" w:hanging="708"/>
      </w:pPr>
      <w:rPr>
        <w:rFonts w:hint="default"/>
        <w:lang w:val="tr-TR" w:eastAsia="tr-TR" w:bidi="tr-TR"/>
      </w:rPr>
    </w:lvl>
    <w:lvl w:ilvl="6" w:tplc="5784EBE2">
      <w:numFmt w:val="bullet"/>
      <w:lvlText w:val="•"/>
      <w:lvlJc w:val="left"/>
      <w:pPr>
        <w:ind w:left="7040" w:hanging="708"/>
      </w:pPr>
      <w:rPr>
        <w:rFonts w:hint="default"/>
        <w:lang w:val="tr-TR" w:eastAsia="tr-TR" w:bidi="tr-TR"/>
      </w:rPr>
    </w:lvl>
    <w:lvl w:ilvl="7" w:tplc="BD6EC994">
      <w:numFmt w:val="bullet"/>
      <w:lvlText w:val="•"/>
      <w:lvlJc w:val="left"/>
      <w:pPr>
        <w:ind w:left="7973" w:hanging="708"/>
      </w:pPr>
      <w:rPr>
        <w:rFonts w:hint="default"/>
        <w:lang w:val="tr-TR" w:eastAsia="tr-TR" w:bidi="tr-TR"/>
      </w:rPr>
    </w:lvl>
    <w:lvl w:ilvl="8" w:tplc="E15E53D8">
      <w:numFmt w:val="bullet"/>
      <w:lvlText w:val="•"/>
      <w:lvlJc w:val="left"/>
      <w:pPr>
        <w:ind w:left="8907" w:hanging="70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39E6"/>
    <w:rsid w:val="001936E4"/>
    <w:rsid w:val="0023768A"/>
    <w:rsid w:val="002D1DEE"/>
    <w:rsid w:val="00383967"/>
    <w:rsid w:val="003E34FA"/>
    <w:rsid w:val="003F3365"/>
    <w:rsid w:val="004E20CC"/>
    <w:rsid w:val="00546068"/>
    <w:rsid w:val="00607799"/>
    <w:rsid w:val="00AE230B"/>
    <w:rsid w:val="00B17579"/>
    <w:rsid w:val="00C7260C"/>
    <w:rsid w:val="00C9312A"/>
    <w:rsid w:val="00E41448"/>
    <w:rsid w:val="00E8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39E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839E6"/>
  </w:style>
  <w:style w:type="paragraph" w:customStyle="1" w:styleId="TableParagraph">
    <w:name w:val="Table Paragraph"/>
    <w:basedOn w:val="Normal"/>
    <w:uiPriority w:val="1"/>
    <w:qFormat/>
    <w:rsid w:val="00E839E6"/>
    <w:pPr>
      <w:ind w:left="727"/>
    </w:pPr>
  </w:style>
  <w:style w:type="paragraph" w:styleId="stbilgi">
    <w:name w:val="header"/>
    <w:basedOn w:val="Normal"/>
    <w:link w:val="stbilgiChar"/>
    <w:uiPriority w:val="99"/>
    <w:semiHidden/>
    <w:unhideWhenUsed/>
    <w:rsid w:val="00C726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260C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726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260C"/>
    <w:rPr>
      <w:rFonts w:ascii="Arial" w:eastAsia="Arial" w:hAnsi="Arial" w:cs="Arial"/>
      <w:lang w:val="tr-TR" w:eastAsia="tr-TR" w:bidi="tr-TR"/>
    </w:rPr>
  </w:style>
  <w:style w:type="paragraph" w:styleId="AralkYok">
    <w:name w:val="No Spacing"/>
    <w:uiPriority w:val="1"/>
    <w:qFormat/>
    <w:rsid w:val="00C7260C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</dc:title>
  <dc:creator>EXPER</dc:creator>
  <cp:lastModifiedBy>12375001728</cp:lastModifiedBy>
  <cp:revision>7</cp:revision>
  <cp:lastPrinted>2021-07-12T08:09:00Z</cp:lastPrinted>
  <dcterms:created xsi:type="dcterms:W3CDTF">2021-06-28T07:40:00Z</dcterms:created>
  <dcterms:modified xsi:type="dcterms:W3CDTF">2021-07-12T08:10:00Z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