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B94" w:rsidRPr="00D044A6" w:rsidRDefault="00D044A6">
      <w:pPr>
        <w:rPr>
          <w:rFonts w:asciiTheme="minorHAnsi" w:hAnsiTheme="minorHAnsi" w:cstheme="minorHAnsi"/>
          <w:b/>
          <w:sz w:val="22"/>
          <w:szCs w:val="22"/>
        </w:rPr>
      </w:pPr>
      <w:r w:rsidRPr="00D044A6">
        <w:rPr>
          <w:rFonts w:asciiTheme="minorHAnsi" w:hAnsiTheme="minorHAnsi" w:cstheme="minorHAnsi"/>
          <w:b/>
          <w:sz w:val="22"/>
          <w:szCs w:val="22"/>
        </w:rPr>
        <w:t xml:space="preserve">AMAÇ: </w:t>
      </w:r>
    </w:p>
    <w:p w:rsidR="00D044A6" w:rsidRDefault="00D044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İlaç</w:t>
      </w:r>
      <w:r w:rsidR="00610F2B">
        <w:rPr>
          <w:rFonts w:asciiTheme="minorHAnsi" w:hAnsiTheme="minorHAnsi" w:cstheme="minorHAnsi"/>
          <w:sz w:val="22"/>
          <w:szCs w:val="22"/>
        </w:rPr>
        <w:t xml:space="preserve"> imhası</w:t>
      </w:r>
      <w:r>
        <w:rPr>
          <w:rFonts w:asciiTheme="minorHAnsi" w:hAnsiTheme="minorHAnsi" w:cstheme="minorHAnsi"/>
          <w:sz w:val="22"/>
          <w:szCs w:val="22"/>
        </w:rPr>
        <w:t xml:space="preserve"> ile ilgili kuralların belirlenmesi.</w:t>
      </w:r>
    </w:p>
    <w:p w:rsidR="00D044A6" w:rsidRDefault="00D044A6">
      <w:pPr>
        <w:rPr>
          <w:rFonts w:asciiTheme="minorHAnsi" w:hAnsiTheme="minorHAnsi" w:cstheme="minorHAnsi"/>
          <w:sz w:val="22"/>
          <w:szCs w:val="22"/>
        </w:rPr>
      </w:pPr>
    </w:p>
    <w:p w:rsidR="00D044A6" w:rsidRDefault="00D044A6">
      <w:pPr>
        <w:rPr>
          <w:rFonts w:asciiTheme="minorHAnsi" w:hAnsiTheme="minorHAnsi" w:cstheme="minorHAnsi"/>
          <w:b/>
          <w:sz w:val="22"/>
          <w:szCs w:val="22"/>
        </w:rPr>
      </w:pPr>
      <w:r w:rsidRPr="00D044A6">
        <w:rPr>
          <w:rFonts w:asciiTheme="minorHAnsi" w:hAnsiTheme="minorHAnsi" w:cstheme="minorHAnsi"/>
          <w:b/>
          <w:sz w:val="22"/>
          <w:szCs w:val="22"/>
        </w:rPr>
        <w:t>KAPSAM:</w:t>
      </w:r>
    </w:p>
    <w:p w:rsidR="00D044A6" w:rsidRDefault="00D044A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İlaç istemi yapılan tüm birimler.</w:t>
      </w:r>
    </w:p>
    <w:p w:rsidR="00D044A6" w:rsidRDefault="00D044A6">
      <w:pPr>
        <w:rPr>
          <w:rFonts w:asciiTheme="minorHAnsi" w:hAnsiTheme="minorHAnsi" w:cstheme="minorHAnsi"/>
          <w:sz w:val="22"/>
          <w:szCs w:val="22"/>
        </w:rPr>
      </w:pPr>
    </w:p>
    <w:p w:rsidR="00D044A6" w:rsidRDefault="00D044A6">
      <w:pPr>
        <w:rPr>
          <w:rFonts w:asciiTheme="minorHAnsi" w:hAnsiTheme="minorHAnsi" w:cstheme="minorHAnsi"/>
          <w:sz w:val="22"/>
          <w:szCs w:val="22"/>
        </w:rPr>
      </w:pPr>
    </w:p>
    <w:p w:rsidR="00610F2B" w:rsidRPr="004E5A1D" w:rsidRDefault="00610F2B" w:rsidP="00610F2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5A1D">
        <w:rPr>
          <w:rFonts w:asciiTheme="minorHAnsi" w:hAnsiTheme="minorHAnsi" w:cstheme="minorHAnsi"/>
          <w:b/>
          <w:sz w:val="22"/>
          <w:szCs w:val="22"/>
        </w:rPr>
        <w:t>Kullanımdan Arta Kalan</w:t>
      </w:r>
      <w:r>
        <w:rPr>
          <w:rFonts w:asciiTheme="minorHAnsi" w:hAnsiTheme="minorHAnsi" w:cstheme="minorHAnsi"/>
          <w:b/>
          <w:sz w:val="22"/>
          <w:szCs w:val="22"/>
        </w:rPr>
        <w:t xml:space="preserve"> ve miadı geçen </w:t>
      </w:r>
      <w:r w:rsidRPr="004E5A1D">
        <w:rPr>
          <w:rFonts w:asciiTheme="minorHAnsi" w:hAnsiTheme="minorHAnsi" w:cstheme="minorHAnsi"/>
          <w:b/>
          <w:sz w:val="22"/>
          <w:szCs w:val="22"/>
        </w:rPr>
        <w:t xml:space="preserve"> İlaçların Eczaneye İadesi Ve Değerlendirilmesi</w:t>
      </w:r>
      <w:r>
        <w:rPr>
          <w:rFonts w:asciiTheme="minorHAnsi" w:hAnsiTheme="minorHAnsi" w:cstheme="minorHAnsi"/>
          <w:b/>
          <w:sz w:val="22"/>
          <w:szCs w:val="22"/>
        </w:rPr>
        <w:t>/ imhası</w:t>
      </w:r>
      <w:r w:rsidRPr="004E5A1D">
        <w:rPr>
          <w:rFonts w:asciiTheme="minorHAnsi" w:hAnsiTheme="minorHAnsi" w:cstheme="minorHAnsi"/>
          <w:b/>
          <w:sz w:val="22"/>
          <w:szCs w:val="22"/>
        </w:rPr>
        <w:t>:</w:t>
      </w:r>
    </w:p>
    <w:p w:rsidR="00610F2B" w:rsidRPr="004E5A1D" w:rsidRDefault="00610F2B" w:rsidP="00610F2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5A1D">
        <w:rPr>
          <w:rFonts w:asciiTheme="minorHAnsi" w:hAnsiTheme="minorHAnsi" w:cstheme="minorHAnsi"/>
          <w:sz w:val="22"/>
          <w:szCs w:val="22"/>
        </w:rPr>
        <w:t>Hastane otomasyon sistemi kullanılarak iade edilen ilaç hasta kartından düşülür.</w:t>
      </w:r>
    </w:p>
    <w:p w:rsidR="00610F2B" w:rsidRPr="004E5A1D" w:rsidRDefault="00610F2B" w:rsidP="00610F2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5A1D">
        <w:rPr>
          <w:rFonts w:asciiTheme="minorHAnsi" w:hAnsiTheme="minorHAnsi" w:cstheme="minorHAnsi"/>
          <w:sz w:val="22"/>
          <w:szCs w:val="22"/>
        </w:rPr>
        <w:t>Geri iade edilen ilaçların açılmamış (şurup, flakon, lavman, tabletler), serumların koruma poşetinden çıkartılmamış, şişe serumların kapakları çıkartılmamış olmalı, soğuk zincire tabi ilaçlar soğuk zincir kurallarına uygun olarak iade edilir.</w:t>
      </w:r>
    </w:p>
    <w:p w:rsidR="00610F2B" w:rsidRPr="004E5A1D" w:rsidRDefault="00610F2B" w:rsidP="00610F2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5A1D">
        <w:rPr>
          <w:rFonts w:asciiTheme="minorHAnsi" w:hAnsiTheme="minorHAnsi" w:cstheme="minorHAnsi"/>
          <w:sz w:val="22"/>
          <w:szCs w:val="22"/>
        </w:rPr>
        <w:t>İadeler Bakanlık (ÇKYS) programına uyum sağlayabilmesi için iadelerin süresi 24 saati geçmemelidir.</w:t>
      </w:r>
    </w:p>
    <w:p w:rsidR="00610F2B" w:rsidRPr="004E5A1D" w:rsidRDefault="00610F2B" w:rsidP="00610F2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5A1D">
        <w:rPr>
          <w:rFonts w:asciiTheme="minorHAnsi" w:hAnsiTheme="minorHAnsi" w:cstheme="minorHAnsi"/>
          <w:sz w:val="22"/>
          <w:szCs w:val="22"/>
        </w:rPr>
        <w:t xml:space="preserve">Eczane sorumlusu teslim aldığı ilaçların </w:t>
      </w:r>
      <w:r w:rsidR="00895BC8" w:rsidRPr="004E5A1D">
        <w:rPr>
          <w:rFonts w:asciiTheme="minorHAnsi" w:hAnsiTheme="minorHAnsi" w:cstheme="minorHAnsi"/>
          <w:sz w:val="22"/>
          <w:szCs w:val="22"/>
        </w:rPr>
        <w:t>miat</w:t>
      </w:r>
      <w:r w:rsidRPr="004E5A1D">
        <w:rPr>
          <w:rFonts w:asciiTheme="minorHAnsi" w:hAnsiTheme="minorHAnsi" w:cstheme="minorHAnsi"/>
          <w:sz w:val="22"/>
          <w:szCs w:val="22"/>
        </w:rPr>
        <w:t xml:space="preserve"> ve miktarlarını kontrol ederek imza karşılığı teslim alır</w:t>
      </w:r>
    </w:p>
    <w:p w:rsidR="00610F2B" w:rsidRPr="004E5A1D" w:rsidRDefault="00610F2B" w:rsidP="00610F2B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E5A1D">
        <w:rPr>
          <w:rFonts w:asciiTheme="minorHAnsi" w:hAnsiTheme="minorHAnsi" w:cstheme="minorHAnsi"/>
          <w:sz w:val="22"/>
          <w:szCs w:val="22"/>
        </w:rPr>
        <w:t>Eczane sorumlusu teslim aldığı ilaçları otomasyon sistemi üzerinden geri iadesini yapar Teslim alınan ilaçlar eczanede son kullanma tarihine göre yerlerine yerleştirilir</w:t>
      </w:r>
    </w:p>
    <w:p w:rsidR="00610F2B" w:rsidRPr="00610F2B" w:rsidRDefault="00610F2B" w:rsidP="00610F2B">
      <w:pPr>
        <w:pStyle w:val="AralkYok"/>
        <w:numPr>
          <w:ilvl w:val="0"/>
          <w:numId w:val="4"/>
        </w:numPr>
        <w:jc w:val="both"/>
        <w:rPr>
          <w:rFonts w:cstheme="minorHAnsi"/>
        </w:rPr>
      </w:pPr>
      <w:r w:rsidRPr="004E5A1D">
        <w:rPr>
          <w:rFonts w:cstheme="minorHAnsi"/>
        </w:rPr>
        <w:t xml:space="preserve">Birimlerde son kullanma tarihi yaklaşan ve kesin tüketilemeyeceği düşünülen ve miadının dolmasına </w:t>
      </w:r>
      <w:r w:rsidRPr="004E5A1D">
        <w:rPr>
          <w:rFonts w:cstheme="minorHAnsi"/>
          <w:b/>
        </w:rPr>
        <w:t>90</w:t>
      </w:r>
      <w:r>
        <w:rPr>
          <w:rFonts w:cstheme="minorHAnsi"/>
          <w:b/>
        </w:rPr>
        <w:t xml:space="preserve"> </w:t>
      </w:r>
      <w:r w:rsidRPr="00610F2B">
        <w:rPr>
          <w:rFonts w:cstheme="minorHAnsi"/>
        </w:rPr>
        <w:t xml:space="preserve">gün kalan ilaç, serum ve sarf malzemeler </w:t>
      </w:r>
      <w:r w:rsidRPr="00610F2B">
        <w:rPr>
          <w:rFonts w:cstheme="minorHAnsi"/>
          <w:b/>
        </w:rPr>
        <w:t>İlaç İade Formuyla</w:t>
      </w:r>
      <w:r w:rsidRPr="00610F2B">
        <w:rPr>
          <w:rFonts w:cstheme="minorHAnsi"/>
        </w:rPr>
        <w:t xml:space="preserve"> hastane eczanesine teslim edilir.</w:t>
      </w:r>
    </w:p>
    <w:p w:rsidR="00610F2B" w:rsidRPr="004E5A1D" w:rsidRDefault="00610F2B" w:rsidP="00610F2B">
      <w:pPr>
        <w:pStyle w:val="AralkYok"/>
        <w:numPr>
          <w:ilvl w:val="0"/>
          <w:numId w:val="5"/>
        </w:numPr>
        <w:jc w:val="both"/>
        <w:rPr>
          <w:rFonts w:cstheme="minorHAnsi"/>
        </w:rPr>
      </w:pPr>
      <w:r w:rsidRPr="004E5A1D">
        <w:rPr>
          <w:rFonts w:cstheme="minorHAnsi"/>
        </w:rPr>
        <w:t xml:space="preserve">Birimlerden iade edilen ve depoda Son </w:t>
      </w:r>
      <w:r w:rsidR="00895BC8">
        <w:rPr>
          <w:rFonts w:cstheme="minorHAnsi"/>
          <w:b/>
        </w:rPr>
        <w:t>6</w:t>
      </w:r>
      <w:r w:rsidRPr="004E5A1D">
        <w:rPr>
          <w:rFonts w:cstheme="minorHAnsi"/>
          <w:b/>
        </w:rPr>
        <w:t xml:space="preserve"> ay</w:t>
      </w:r>
      <w:r w:rsidRPr="004E5A1D">
        <w:rPr>
          <w:rFonts w:cstheme="minorHAnsi"/>
        </w:rPr>
        <w:t xml:space="preserve"> içinde tüketilmeyeceği düşünülen ilaç, serum ve sarf malzemeler alınan firmaya değiştirilmesi amacıyla </w:t>
      </w:r>
      <w:r w:rsidR="00EE63ED">
        <w:rPr>
          <w:rFonts w:cstheme="minorHAnsi"/>
        </w:rPr>
        <w:t>alım yapılmış firmalara</w:t>
      </w:r>
      <w:r w:rsidRPr="004E5A1D">
        <w:rPr>
          <w:rFonts w:cstheme="minorHAnsi"/>
        </w:rPr>
        <w:t xml:space="preserve"> teslim edilir.Hastanede bulunan ilaç ve sarf malzemenin miadı dolduğunda eczaneye tutanakla teslim edilir. Bu ilaçlar ve sarf malzemeler, Başhekim, Hastane Müdürü, Eczane sorumlusu, sağlık bakım hizmetleri m</w:t>
      </w:r>
      <w:r w:rsidR="00895BC8">
        <w:rPr>
          <w:rFonts w:cstheme="minorHAnsi"/>
        </w:rPr>
        <w:t>üdürü ve ilgili Birim Sorumlusu</w:t>
      </w:r>
      <w:r w:rsidRPr="004E5A1D">
        <w:rPr>
          <w:rFonts w:cstheme="minorHAnsi"/>
        </w:rPr>
        <w:t>nun denetiminde imzalanarak imha edilir.</w:t>
      </w:r>
    </w:p>
    <w:p w:rsidR="00122928" w:rsidRDefault="00122928">
      <w:pPr>
        <w:rPr>
          <w:rFonts w:asciiTheme="minorHAnsi" w:hAnsiTheme="minorHAnsi" w:cstheme="minorHAnsi"/>
          <w:sz w:val="22"/>
          <w:szCs w:val="22"/>
        </w:rPr>
      </w:pPr>
    </w:p>
    <w:p w:rsidR="00122928" w:rsidRPr="00122928" w:rsidRDefault="00122928" w:rsidP="00122928">
      <w:pPr>
        <w:rPr>
          <w:rFonts w:asciiTheme="minorHAnsi" w:hAnsiTheme="minorHAnsi" w:cstheme="minorHAnsi"/>
          <w:sz w:val="22"/>
          <w:szCs w:val="22"/>
        </w:rPr>
      </w:pPr>
    </w:p>
    <w:p w:rsidR="00122928" w:rsidRPr="00122928" w:rsidRDefault="00122928" w:rsidP="00122928">
      <w:pPr>
        <w:rPr>
          <w:rFonts w:asciiTheme="minorHAnsi" w:hAnsiTheme="minorHAnsi" w:cstheme="minorHAnsi"/>
          <w:sz w:val="22"/>
          <w:szCs w:val="22"/>
        </w:rPr>
      </w:pPr>
    </w:p>
    <w:p w:rsidR="00122928" w:rsidRPr="00122928" w:rsidRDefault="00122928" w:rsidP="00122928">
      <w:pPr>
        <w:rPr>
          <w:rFonts w:asciiTheme="minorHAnsi" w:hAnsiTheme="minorHAnsi" w:cstheme="minorHAnsi"/>
          <w:sz w:val="22"/>
          <w:szCs w:val="22"/>
        </w:rPr>
      </w:pPr>
    </w:p>
    <w:p w:rsidR="00122928" w:rsidRPr="00122928" w:rsidRDefault="00122928" w:rsidP="00122928">
      <w:pPr>
        <w:rPr>
          <w:rFonts w:asciiTheme="minorHAnsi" w:hAnsiTheme="minorHAnsi" w:cstheme="minorHAnsi"/>
          <w:sz w:val="22"/>
          <w:szCs w:val="22"/>
        </w:rPr>
      </w:pPr>
    </w:p>
    <w:p w:rsidR="00122928" w:rsidRPr="00122928" w:rsidRDefault="00122928" w:rsidP="00122928">
      <w:pPr>
        <w:rPr>
          <w:rFonts w:asciiTheme="minorHAnsi" w:hAnsiTheme="minorHAnsi" w:cstheme="minorHAnsi"/>
          <w:sz w:val="22"/>
          <w:szCs w:val="22"/>
        </w:rPr>
      </w:pPr>
    </w:p>
    <w:p w:rsidR="00122928" w:rsidRPr="00122928" w:rsidRDefault="00122928" w:rsidP="00122928">
      <w:pPr>
        <w:rPr>
          <w:rFonts w:asciiTheme="minorHAnsi" w:hAnsiTheme="minorHAnsi" w:cstheme="minorHAnsi"/>
          <w:sz w:val="22"/>
          <w:szCs w:val="22"/>
        </w:rPr>
      </w:pPr>
    </w:p>
    <w:p w:rsidR="00122928" w:rsidRPr="00122928" w:rsidRDefault="00122928" w:rsidP="00122928">
      <w:pPr>
        <w:rPr>
          <w:rFonts w:asciiTheme="minorHAnsi" w:hAnsiTheme="minorHAnsi" w:cstheme="minorHAnsi"/>
          <w:sz w:val="22"/>
          <w:szCs w:val="22"/>
        </w:rPr>
      </w:pPr>
    </w:p>
    <w:p w:rsidR="00122928" w:rsidRPr="00122928" w:rsidRDefault="00122928" w:rsidP="00122928">
      <w:pPr>
        <w:rPr>
          <w:rFonts w:asciiTheme="minorHAnsi" w:hAnsiTheme="minorHAnsi" w:cstheme="minorHAnsi"/>
          <w:sz w:val="22"/>
          <w:szCs w:val="22"/>
        </w:rPr>
      </w:pPr>
    </w:p>
    <w:p w:rsidR="00122928" w:rsidRPr="00122928" w:rsidRDefault="00122928" w:rsidP="00122928">
      <w:pPr>
        <w:rPr>
          <w:rFonts w:asciiTheme="minorHAnsi" w:hAnsiTheme="minorHAnsi" w:cstheme="minorHAnsi"/>
          <w:sz w:val="22"/>
          <w:szCs w:val="22"/>
        </w:rPr>
      </w:pPr>
    </w:p>
    <w:p w:rsidR="00122928" w:rsidRPr="00122928" w:rsidRDefault="00122928" w:rsidP="00122928">
      <w:pPr>
        <w:rPr>
          <w:rFonts w:asciiTheme="minorHAnsi" w:hAnsiTheme="minorHAnsi" w:cstheme="minorHAnsi"/>
          <w:sz w:val="22"/>
          <w:szCs w:val="22"/>
        </w:rPr>
      </w:pPr>
    </w:p>
    <w:p w:rsidR="00122928" w:rsidRPr="00122928" w:rsidRDefault="00122928" w:rsidP="00122928">
      <w:pPr>
        <w:rPr>
          <w:rFonts w:asciiTheme="minorHAnsi" w:hAnsiTheme="minorHAnsi" w:cstheme="minorHAnsi"/>
          <w:sz w:val="22"/>
          <w:szCs w:val="22"/>
        </w:rPr>
      </w:pPr>
    </w:p>
    <w:p w:rsidR="00122928" w:rsidRPr="00122928" w:rsidRDefault="00122928" w:rsidP="00122928">
      <w:pPr>
        <w:rPr>
          <w:rFonts w:asciiTheme="minorHAnsi" w:hAnsiTheme="minorHAnsi" w:cstheme="minorHAnsi"/>
          <w:sz w:val="22"/>
          <w:szCs w:val="22"/>
        </w:rPr>
      </w:pPr>
    </w:p>
    <w:p w:rsidR="00122928" w:rsidRPr="00122928" w:rsidRDefault="00122928" w:rsidP="00122928">
      <w:pPr>
        <w:rPr>
          <w:rFonts w:asciiTheme="minorHAnsi" w:hAnsiTheme="minorHAnsi" w:cstheme="minorHAnsi"/>
          <w:sz w:val="22"/>
          <w:szCs w:val="22"/>
        </w:rPr>
      </w:pPr>
    </w:p>
    <w:p w:rsidR="00122928" w:rsidRDefault="00122928" w:rsidP="00122928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122928" w:rsidTr="0012292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28" w:rsidRPr="00493049" w:rsidRDefault="00122928" w:rsidP="00122928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493049">
              <w:rPr>
                <w:b/>
                <w:sz w:val="20"/>
                <w:szCs w:val="20"/>
              </w:rPr>
              <w:t>Hazırlayan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28" w:rsidRPr="00493049" w:rsidRDefault="00122928" w:rsidP="00122928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Kontrol Eden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28" w:rsidRPr="00493049" w:rsidRDefault="00122928" w:rsidP="00122928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Onaylayan</w:t>
            </w:r>
          </w:p>
        </w:tc>
      </w:tr>
      <w:tr w:rsidR="00122928" w:rsidTr="0012292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28" w:rsidRPr="00493049" w:rsidRDefault="00895BC8" w:rsidP="00122928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Eczacı</w:t>
            </w:r>
            <w:r w:rsidR="0012292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122928" w:rsidRPr="00493049" w:rsidRDefault="00122928" w:rsidP="00122928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22928" w:rsidRPr="00493049" w:rsidRDefault="00122928" w:rsidP="00122928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28" w:rsidRPr="00493049" w:rsidRDefault="00122928" w:rsidP="00122928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Kalite Direktörü</w:t>
            </w:r>
          </w:p>
          <w:p w:rsidR="00122928" w:rsidRPr="00493049" w:rsidRDefault="00122928" w:rsidP="00122928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28" w:rsidRPr="00493049" w:rsidRDefault="00122928" w:rsidP="00122928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3049">
              <w:rPr>
                <w:rFonts w:cstheme="minorHAnsi"/>
                <w:b/>
                <w:sz w:val="20"/>
                <w:szCs w:val="20"/>
              </w:rPr>
              <w:t>Başhekim</w:t>
            </w:r>
            <w:r>
              <w:rPr>
                <w:rFonts w:cstheme="minorHAnsi"/>
                <w:b/>
                <w:sz w:val="20"/>
                <w:szCs w:val="20"/>
              </w:rPr>
              <w:t xml:space="preserve"> Yardımcısı</w:t>
            </w:r>
          </w:p>
          <w:p w:rsidR="00122928" w:rsidRPr="00493049" w:rsidRDefault="00122928" w:rsidP="00122928">
            <w:pPr>
              <w:pStyle w:val="AralkYok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044A6" w:rsidRPr="00122928" w:rsidRDefault="00D044A6" w:rsidP="00122928">
      <w:pPr>
        <w:rPr>
          <w:rFonts w:asciiTheme="minorHAnsi" w:hAnsiTheme="minorHAnsi" w:cstheme="minorHAnsi"/>
          <w:sz w:val="22"/>
          <w:szCs w:val="22"/>
        </w:rPr>
      </w:pPr>
    </w:p>
    <w:sectPr w:rsidR="00D044A6" w:rsidRPr="00122928" w:rsidSect="005A0B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C44" w:rsidRDefault="00227C44" w:rsidP="00EA2CCD">
      <w:r>
        <w:separator/>
      </w:r>
    </w:p>
  </w:endnote>
  <w:endnote w:type="continuationSeparator" w:id="1">
    <w:p w:rsidR="00227C44" w:rsidRDefault="00227C44" w:rsidP="00EA2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C44" w:rsidRDefault="00227C44" w:rsidP="00EA2CCD">
      <w:r>
        <w:separator/>
      </w:r>
    </w:p>
  </w:footnote>
  <w:footnote w:type="continuationSeparator" w:id="1">
    <w:p w:rsidR="00227C44" w:rsidRDefault="00227C44" w:rsidP="00EA2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8" w:type="dxa"/>
      <w:jc w:val="center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564"/>
      <w:gridCol w:w="2238"/>
      <w:gridCol w:w="2536"/>
      <w:gridCol w:w="1791"/>
      <w:gridCol w:w="1119"/>
    </w:tblGrid>
    <w:tr w:rsidR="00EA2CCD" w:rsidTr="00895BC8">
      <w:trPr>
        <w:trHeight w:val="955"/>
        <w:jc w:val="center"/>
      </w:trPr>
      <w:tc>
        <w:tcPr>
          <w:tcW w:w="2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2CCD" w:rsidRDefault="003B3397" w:rsidP="00013A56">
          <w:pPr>
            <w:pStyle w:val="AralkYok"/>
            <w:spacing w:line="276" w:lineRule="auto"/>
            <w:rPr>
              <w:rFonts w:eastAsiaTheme="minorEastAsia"/>
            </w:rPr>
          </w:pPr>
          <w:r w:rsidRPr="003B3397">
            <w:rPr>
              <w:rFonts w:eastAsiaTheme="minorEastAsi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266700</wp:posOffset>
                </wp:positionH>
                <wp:positionV relativeFrom="paragraph">
                  <wp:posOffset>-27305</wp:posOffset>
                </wp:positionV>
                <wp:extent cx="962025" cy="542925"/>
                <wp:effectExtent l="0" t="0" r="0" b="0"/>
                <wp:wrapNone/>
                <wp:docPr id="10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EA2CCD" w:rsidRDefault="00EA2CCD" w:rsidP="00013A56">
          <w:pPr>
            <w:pStyle w:val="AralkYok"/>
            <w:spacing w:line="276" w:lineRule="auto"/>
            <w:rPr>
              <w:rFonts w:eastAsiaTheme="minorEastAsia"/>
            </w:rPr>
          </w:pPr>
        </w:p>
        <w:p w:rsidR="00EA2CCD" w:rsidRDefault="00EA2CCD" w:rsidP="00013A56">
          <w:pPr>
            <w:pStyle w:val="AralkYok"/>
            <w:spacing w:line="276" w:lineRule="auto"/>
            <w:jc w:val="center"/>
            <w:rPr>
              <w:rFonts w:ascii="Times New Roman" w:eastAsiaTheme="minorEastAsia" w:hAnsi="Times New Roman" w:cs="Times New Roman"/>
              <w:b/>
              <w:sz w:val="16"/>
              <w:szCs w:val="16"/>
            </w:rPr>
          </w:pPr>
        </w:p>
        <w:p w:rsidR="00EA2CCD" w:rsidRDefault="00EA2CCD" w:rsidP="00013A56">
          <w:pPr>
            <w:pStyle w:val="AralkYok"/>
            <w:spacing w:line="276" w:lineRule="auto"/>
            <w:jc w:val="center"/>
            <w:rPr>
              <w:rFonts w:eastAsiaTheme="minorEastAsia"/>
              <w:b/>
              <w:sz w:val="16"/>
              <w:szCs w:val="16"/>
            </w:rPr>
          </w:pPr>
          <w:r>
            <w:rPr>
              <w:rFonts w:eastAsiaTheme="minorEastAsia"/>
              <w:b/>
              <w:sz w:val="16"/>
              <w:szCs w:val="16"/>
            </w:rPr>
            <w:t>SURUÇ DEVLET HASTANESİ</w:t>
          </w:r>
        </w:p>
      </w:tc>
      <w:tc>
        <w:tcPr>
          <w:tcW w:w="7684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A2CCD" w:rsidRDefault="00EA2CCD" w:rsidP="00013A56">
          <w:pPr>
            <w:pStyle w:val="AralkYok"/>
            <w:spacing w:line="276" w:lineRule="auto"/>
            <w:rPr>
              <w:rFonts w:eastAsiaTheme="minorEastAsia"/>
              <w:b/>
            </w:rPr>
          </w:pPr>
        </w:p>
        <w:p w:rsidR="00EA2CCD" w:rsidRPr="00610F2B" w:rsidRDefault="00610F2B" w:rsidP="00D044A6">
          <w:pPr>
            <w:pStyle w:val="AralkYok"/>
            <w:spacing w:line="276" w:lineRule="auto"/>
            <w:jc w:val="center"/>
            <w:rPr>
              <w:rFonts w:eastAsiaTheme="minorEastAsia" w:cstheme="minorHAnsi"/>
            </w:rPr>
          </w:pPr>
          <w:r w:rsidRPr="00610F2B">
            <w:rPr>
              <w:rFonts w:cstheme="minorHAnsi"/>
              <w:b/>
              <w:sz w:val="24"/>
              <w:szCs w:val="24"/>
            </w:rPr>
            <w:t>İLAÇ ATIKLARININ VE SON KULLANMA TARİHİ GEÇMİŞ İLAÇLARIN İMHA EDİLMESİ TALİMATI</w:t>
          </w:r>
        </w:p>
      </w:tc>
    </w:tr>
    <w:tr w:rsidR="00EA2CCD" w:rsidTr="00895BC8">
      <w:trPr>
        <w:trHeight w:val="303"/>
        <w:jc w:val="center"/>
      </w:trPr>
      <w:tc>
        <w:tcPr>
          <w:tcW w:w="2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2CCD" w:rsidRDefault="00EA2CCD" w:rsidP="00013A56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Doküman no: İY.</w:t>
          </w:r>
          <w:bookmarkStart w:id="0" w:name="_GoBack"/>
          <w:bookmarkEnd w:id="0"/>
          <w:r w:rsidR="00610F2B">
            <w:rPr>
              <w:rFonts w:eastAsiaTheme="minorEastAsia"/>
              <w:b/>
              <w:sz w:val="20"/>
              <w:szCs w:val="20"/>
            </w:rPr>
            <w:t>TL.010</w:t>
          </w:r>
        </w:p>
      </w:tc>
      <w:tc>
        <w:tcPr>
          <w:tcW w:w="22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2CCD" w:rsidRDefault="00610F2B" w:rsidP="00EA2CCD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Yayın tarihi:07</w:t>
          </w:r>
          <w:r w:rsidR="00EA2CCD">
            <w:rPr>
              <w:rFonts w:eastAsiaTheme="minorEastAsia"/>
              <w:b/>
              <w:sz w:val="20"/>
              <w:szCs w:val="20"/>
            </w:rPr>
            <w:t>.10.2015</w:t>
          </w:r>
        </w:p>
      </w:tc>
      <w:tc>
        <w:tcPr>
          <w:tcW w:w="2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2CCD" w:rsidRDefault="00895BC8" w:rsidP="00013A56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Revizyon tarihi:06.06.2022</w:t>
          </w:r>
        </w:p>
      </w:tc>
      <w:tc>
        <w:tcPr>
          <w:tcW w:w="17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A2CCD" w:rsidRDefault="00895BC8" w:rsidP="00013A56">
          <w:pPr>
            <w:pStyle w:val="AralkYok"/>
            <w:spacing w:line="276" w:lineRule="auto"/>
            <w:rPr>
              <w:rFonts w:eastAsiaTheme="minorEastAsia"/>
              <w:b/>
              <w:sz w:val="20"/>
              <w:szCs w:val="20"/>
            </w:rPr>
          </w:pPr>
          <w:r>
            <w:rPr>
              <w:rFonts w:eastAsiaTheme="minorEastAsia"/>
              <w:b/>
              <w:sz w:val="20"/>
              <w:szCs w:val="20"/>
            </w:rPr>
            <w:t>Revizyon no:01</w:t>
          </w:r>
        </w:p>
      </w:tc>
      <w:tc>
        <w:tcPr>
          <w:tcW w:w="1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id w:val="8882267"/>
            <w:docPartObj>
              <w:docPartGallery w:val="Page Numbers (Top of Page)"/>
              <w:docPartUnique/>
            </w:docPartObj>
          </w:sdtPr>
          <w:sdtContent>
            <w:p w:rsidR="00EA2CCD" w:rsidRPr="000F3CA9" w:rsidRDefault="00EA2CCD" w:rsidP="00013A56">
              <w:r>
                <w:t xml:space="preserve">Sayfa </w:t>
              </w:r>
              <w:r w:rsidR="00D66F92">
                <w:fldChar w:fldCharType="begin"/>
              </w:r>
              <w:r>
                <w:instrText xml:space="preserve"> PAGE </w:instrText>
              </w:r>
              <w:r w:rsidR="00D66F92">
                <w:fldChar w:fldCharType="separate"/>
              </w:r>
              <w:r w:rsidR="00895BC8">
                <w:rPr>
                  <w:noProof/>
                </w:rPr>
                <w:t>1</w:t>
              </w:r>
              <w:r w:rsidR="00D66F92">
                <w:rPr>
                  <w:noProof/>
                </w:rPr>
                <w:fldChar w:fldCharType="end"/>
              </w:r>
              <w:r>
                <w:t xml:space="preserve"> / </w:t>
              </w:r>
              <w:r w:rsidR="00D66F92">
                <w:fldChar w:fldCharType="begin"/>
              </w:r>
              <w:r>
                <w:instrText xml:space="preserve"> NUMPAGES  </w:instrText>
              </w:r>
              <w:r w:rsidR="00D66F92">
                <w:fldChar w:fldCharType="separate"/>
              </w:r>
              <w:r w:rsidR="00895BC8">
                <w:rPr>
                  <w:noProof/>
                </w:rPr>
                <w:t>1</w:t>
              </w:r>
              <w:r w:rsidR="00D66F92">
                <w:rPr>
                  <w:noProof/>
                </w:rPr>
                <w:fldChar w:fldCharType="end"/>
              </w:r>
            </w:p>
          </w:sdtContent>
        </w:sdt>
      </w:tc>
    </w:tr>
  </w:tbl>
  <w:p w:rsidR="00EA2CCD" w:rsidRDefault="00EA2CC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533AF"/>
    <w:multiLevelType w:val="hybridMultilevel"/>
    <w:tmpl w:val="C15C7D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B475D"/>
    <w:multiLevelType w:val="hybridMultilevel"/>
    <w:tmpl w:val="1FF41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5C11"/>
    <w:multiLevelType w:val="hybridMultilevel"/>
    <w:tmpl w:val="E5C43988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D4C1223"/>
    <w:multiLevelType w:val="hybridMultilevel"/>
    <w:tmpl w:val="E6F296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022B68"/>
    <w:multiLevelType w:val="hybridMultilevel"/>
    <w:tmpl w:val="D6343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CCD"/>
    <w:rsid w:val="00024165"/>
    <w:rsid w:val="000D75BE"/>
    <w:rsid w:val="00122928"/>
    <w:rsid w:val="00227C44"/>
    <w:rsid w:val="00257096"/>
    <w:rsid w:val="003B3397"/>
    <w:rsid w:val="003C6CA0"/>
    <w:rsid w:val="004930FF"/>
    <w:rsid w:val="004E36C5"/>
    <w:rsid w:val="005A0B94"/>
    <w:rsid w:val="00610F2B"/>
    <w:rsid w:val="00636B52"/>
    <w:rsid w:val="006E0490"/>
    <w:rsid w:val="007F7B77"/>
    <w:rsid w:val="00895BC8"/>
    <w:rsid w:val="00A7707E"/>
    <w:rsid w:val="00A926CE"/>
    <w:rsid w:val="00B07CE6"/>
    <w:rsid w:val="00B62898"/>
    <w:rsid w:val="00B75CBA"/>
    <w:rsid w:val="00C377CF"/>
    <w:rsid w:val="00D044A6"/>
    <w:rsid w:val="00D66F92"/>
    <w:rsid w:val="00DB002B"/>
    <w:rsid w:val="00DB5A1B"/>
    <w:rsid w:val="00EA2CCD"/>
    <w:rsid w:val="00EE63ED"/>
    <w:rsid w:val="00F6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2C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2CCD"/>
  </w:style>
  <w:style w:type="paragraph" w:styleId="Altbilgi">
    <w:name w:val="footer"/>
    <w:basedOn w:val="Normal"/>
    <w:link w:val="AltbilgiChar"/>
    <w:uiPriority w:val="99"/>
    <w:semiHidden/>
    <w:unhideWhenUsed/>
    <w:rsid w:val="00EA2C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2CCD"/>
  </w:style>
  <w:style w:type="paragraph" w:styleId="AralkYok">
    <w:name w:val="No Spacing"/>
    <w:uiPriority w:val="1"/>
    <w:qFormat/>
    <w:rsid w:val="00EA2CCD"/>
    <w:pPr>
      <w:spacing w:after="0" w:line="240" w:lineRule="auto"/>
    </w:pPr>
  </w:style>
  <w:style w:type="paragraph" w:styleId="NormalWeb">
    <w:name w:val="Normal (Web)"/>
    <w:basedOn w:val="Normal"/>
    <w:rsid w:val="00EA2CCD"/>
    <w:pPr>
      <w:spacing w:after="324"/>
    </w:pPr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EA2CCD"/>
    <w:pPr>
      <w:ind w:left="720"/>
      <w:contextualSpacing/>
    </w:pPr>
  </w:style>
  <w:style w:type="table" w:styleId="TabloKlavuzu">
    <w:name w:val="Table Grid"/>
    <w:basedOn w:val="NormalTablo"/>
    <w:uiPriority w:val="59"/>
    <w:rsid w:val="004E3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12375001728</cp:lastModifiedBy>
  <cp:revision>8</cp:revision>
  <cp:lastPrinted>2022-06-06T07:37:00Z</cp:lastPrinted>
  <dcterms:created xsi:type="dcterms:W3CDTF">2015-10-07T06:40:00Z</dcterms:created>
  <dcterms:modified xsi:type="dcterms:W3CDTF">2022-06-06T07:37:00Z</dcterms:modified>
</cp:coreProperties>
</file>